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CA5" w:rsidRPr="003E08E5" w:rsidRDefault="00F86CA5" w:rsidP="00F86CA5">
      <w:pPr>
        <w:widowControl w:val="0"/>
        <w:spacing w:after="0" w:line="240" w:lineRule="auto"/>
        <w:ind w:left="712" w:right="239" w:hanging="712"/>
        <w:outlineLvl w:val="0"/>
        <w:rPr>
          <w:rFonts w:ascii="Calibri" w:eastAsia="Arial" w:hAnsi="Calibri" w:cs="Calibri"/>
          <w:b/>
          <w:bCs/>
          <w:spacing w:val="-1"/>
          <w:sz w:val="40"/>
          <w:szCs w:val="28"/>
          <w:lang w:val="en-US"/>
        </w:rPr>
      </w:pPr>
    </w:p>
    <w:p w:rsidR="00567153" w:rsidRDefault="00363A57" w:rsidP="00F86CA5">
      <w:pPr>
        <w:widowControl w:val="0"/>
        <w:spacing w:after="0" w:line="240" w:lineRule="auto"/>
        <w:ind w:right="238"/>
        <w:outlineLvl w:val="0"/>
        <w:rPr>
          <w:rFonts w:ascii="Calibri" w:eastAsia="Calibri" w:hAnsi="Calibri" w:cs="Calibri"/>
          <w:b/>
          <w:spacing w:val="-1"/>
          <w:sz w:val="40"/>
          <w:lang w:val="en-US"/>
        </w:rPr>
      </w:pPr>
      <w:r>
        <w:rPr>
          <w:rFonts w:ascii="Calibri" w:eastAsia="Calibri" w:hAnsi="Calibri" w:cs="Calibri"/>
          <w:b/>
          <w:spacing w:val="-1"/>
          <w:sz w:val="40"/>
          <w:lang w:val="en-US"/>
        </w:rPr>
        <w:t xml:space="preserve">Works by </w:t>
      </w:r>
      <w:r w:rsidR="008830CA">
        <w:rPr>
          <w:rFonts w:ascii="Calibri" w:eastAsia="Calibri" w:hAnsi="Calibri" w:cs="Calibri"/>
          <w:b/>
          <w:spacing w:val="-1"/>
          <w:sz w:val="40"/>
          <w:lang w:val="en-US"/>
        </w:rPr>
        <w:t>Independent Connection Providers</w:t>
      </w:r>
    </w:p>
    <w:p w:rsidR="008830CA" w:rsidRPr="008830CA" w:rsidRDefault="008830CA" w:rsidP="008830CA">
      <w:pPr>
        <w:widowControl w:val="0"/>
        <w:spacing w:after="0" w:line="240" w:lineRule="auto"/>
        <w:ind w:right="238"/>
        <w:outlineLvl w:val="0"/>
        <w:rPr>
          <w:rFonts w:ascii="Calibri" w:eastAsia="Calibri" w:hAnsi="Calibri" w:cs="Calibri"/>
          <w:b/>
          <w:spacing w:val="-1"/>
          <w:sz w:val="40"/>
          <w:lang w:val="en-US"/>
        </w:rPr>
      </w:pPr>
      <w:r w:rsidRPr="008830CA">
        <w:rPr>
          <w:rFonts w:ascii="Calibri" w:eastAsia="Calibri" w:hAnsi="Calibri" w:cs="Calibri"/>
          <w:b/>
          <w:spacing w:val="-1"/>
          <w:sz w:val="40"/>
          <w:lang w:val="en-US"/>
        </w:rPr>
        <w:t>Information for Landowners</w:t>
      </w:r>
    </w:p>
    <w:p w:rsidR="00F86CA5" w:rsidRPr="003E08E5" w:rsidRDefault="00F86CA5" w:rsidP="00F86CA5">
      <w:pPr>
        <w:widowControl w:val="0"/>
        <w:spacing w:after="0" w:line="240" w:lineRule="auto"/>
        <w:rPr>
          <w:rFonts w:ascii="Calibri" w:eastAsia="Arial" w:hAnsi="Calibri" w:cs="Calibri"/>
          <w:b/>
          <w:bCs/>
          <w:sz w:val="18"/>
          <w:szCs w:val="18"/>
          <w:lang w:val="en-US"/>
        </w:rPr>
      </w:pPr>
    </w:p>
    <w:p w:rsidR="00F86CA5" w:rsidRPr="003E08E5" w:rsidRDefault="00F86CA5" w:rsidP="00F86CA5">
      <w:pPr>
        <w:widowControl w:val="0"/>
        <w:spacing w:after="0" w:line="240" w:lineRule="auto"/>
        <w:rPr>
          <w:rFonts w:ascii="Calibri" w:eastAsia="Arial" w:hAnsi="Calibri" w:cs="Calibri"/>
          <w:b/>
          <w:bCs/>
          <w:sz w:val="18"/>
          <w:szCs w:val="18"/>
          <w:lang w:val="en-US"/>
        </w:rPr>
      </w:pPr>
    </w:p>
    <w:p w:rsidR="00726A15" w:rsidRPr="003E08E5" w:rsidRDefault="00726A15" w:rsidP="00F86CA5">
      <w:pPr>
        <w:widowControl w:val="0"/>
        <w:spacing w:after="0" w:line="240" w:lineRule="auto"/>
        <w:rPr>
          <w:rFonts w:ascii="Calibri" w:eastAsia="Arial" w:hAnsi="Calibri" w:cs="Calibri"/>
          <w:b/>
          <w:bCs/>
          <w:sz w:val="18"/>
          <w:szCs w:val="18"/>
          <w:lang w:val="en-US"/>
        </w:rPr>
      </w:pPr>
    </w:p>
    <w:p w:rsidR="00726A15" w:rsidRPr="003E08E5" w:rsidRDefault="00726A15" w:rsidP="00F86CA5">
      <w:pPr>
        <w:widowControl w:val="0"/>
        <w:spacing w:after="0" w:line="240" w:lineRule="auto"/>
        <w:rPr>
          <w:rFonts w:ascii="Calibri" w:eastAsia="Arial" w:hAnsi="Calibri" w:cs="Calibri"/>
          <w:b/>
          <w:bCs/>
          <w:sz w:val="24"/>
          <w:szCs w:val="18"/>
          <w:lang w:val="en-US"/>
        </w:rPr>
      </w:pPr>
    </w:p>
    <w:p w:rsidR="00726A15" w:rsidRPr="003E08E5" w:rsidRDefault="00726A15" w:rsidP="00F86CA5">
      <w:pPr>
        <w:widowControl w:val="0"/>
        <w:spacing w:after="0" w:line="240" w:lineRule="auto"/>
        <w:rPr>
          <w:rFonts w:ascii="Calibri" w:eastAsia="Arial" w:hAnsi="Calibri" w:cs="Calibri"/>
          <w:b/>
          <w:bCs/>
          <w:sz w:val="32"/>
          <w:szCs w:val="18"/>
          <w:lang w:val="en-US"/>
        </w:rPr>
      </w:pPr>
      <w:r w:rsidRPr="003E08E5">
        <w:rPr>
          <w:rFonts w:ascii="Calibri" w:eastAsia="Arial" w:hAnsi="Calibri" w:cs="Calibri"/>
          <w:b/>
          <w:bCs/>
          <w:sz w:val="32"/>
          <w:szCs w:val="18"/>
          <w:lang w:val="en-US"/>
        </w:rPr>
        <w:t>Contents</w:t>
      </w:r>
    </w:p>
    <w:p w:rsidR="00726A15" w:rsidRPr="003E08E5" w:rsidRDefault="00726A15" w:rsidP="00F86CA5">
      <w:pPr>
        <w:widowControl w:val="0"/>
        <w:spacing w:after="0" w:line="240" w:lineRule="auto"/>
        <w:rPr>
          <w:rFonts w:ascii="Calibri" w:eastAsia="Arial" w:hAnsi="Calibri" w:cs="Calibri"/>
          <w:b/>
          <w:bCs/>
          <w:sz w:val="18"/>
          <w:szCs w:val="18"/>
          <w:lang w:val="en-US"/>
        </w:rPr>
      </w:pPr>
    </w:p>
    <w:p w:rsidR="00726A15" w:rsidRPr="003E08E5" w:rsidRDefault="00726A15" w:rsidP="00F86CA5">
      <w:pPr>
        <w:widowControl w:val="0"/>
        <w:spacing w:after="0" w:line="240" w:lineRule="auto"/>
        <w:rPr>
          <w:rFonts w:ascii="Calibri" w:eastAsia="Arial" w:hAnsi="Calibri" w:cs="Calibri"/>
          <w:b/>
          <w:bCs/>
          <w:sz w:val="18"/>
          <w:szCs w:val="18"/>
          <w:lang w:val="en-US"/>
        </w:rPr>
      </w:pPr>
    </w:p>
    <w:p w:rsidR="005B30B4" w:rsidRDefault="005B30B4" w:rsidP="005B30B4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Calibri" w:eastAsia="Arial" w:hAnsi="Calibri" w:cs="Calibri"/>
          <w:b/>
          <w:bCs/>
          <w:sz w:val="28"/>
          <w:szCs w:val="18"/>
          <w:lang w:val="en-US"/>
        </w:rPr>
      </w:pPr>
      <w:r>
        <w:rPr>
          <w:rFonts w:ascii="Calibri" w:eastAsia="Arial" w:hAnsi="Calibri" w:cs="Calibri"/>
          <w:b/>
          <w:bCs/>
          <w:sz w:val="28"/>
          <w:szCs w:val="18"/>
          <w:lang w:val="en-US"/>
        </w:rPr>
        <w:t>Introduction</w:t>
      </w:r>
      <w:r>
        <w:rPr>
          <w:rFonts w:ascii="Calibri" w:eastAsia="Arial" w:hAnsi="Calibri" w:cs="Calibri"/>
          <w:b/>
          <w:bCs/>
          <w:sz w:val="28"/>
          <w:szCs w:val="18"/>
          <w:lang w:val="en-US"/>
        </w:rPr>
        <w:br/>
      </w:r>
    </w:p>
    <w:p w:rsidR="005B30B4" w:rsidRPr="005B30B4" w:rsidRDefault="005B30B4" w:rsidP="005B30B4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Calibri" w:eastAsia="Arial" w:hAnsi="Calibri" w:cs="Calibri"/>
          <w:b/>
          <w:bCs/>
          <w:sz w:val="28"/>
          <w:szCs w:val="18"/>
          <w:lang w:val="en-US"/>
        </w:rPr>
      </w:pPr>
      <w:r w:rsidRPr="005B30B4">
        <w:rPr>
          <w:rFonts w:ascii="Calibri" w:eastAsia="Arial" w:hAnsi="Calibri" w:cs="Calibri"/>
          <w:b/>
          <w:bCs/>
          <w:sz w:val="28"/>
          <w:szCs w:val="18"/>
          <w:lang w:val="en-US"/>
        </w:rPr>
        <w:t>Landowner Permissions</w:t>
      </w:r>
      <w:r>
        <w:rPr>
          <w:rFonts w:ascii="Calibri" w:eastAsia="Arial" w:hAnsi="Calibri" w:cs="Calibri"/>
          <w:b/>
          <w:bCs/>
          <w:sz w:val="28"/>
          <w:szCs w:val="18"/>
          <w:lang w:val="en-US"/>
        </w:rPr>
        <w:br/>
      </w:r>
    </w:p>
    <w:p w:rsidR="005B30B4" w:rsidRPr="00761F0B" w:rsidRDefault="005B30B4" w:rsidP="00761F0B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Calibri" w:eastAsia="Arial" w:hAnsi="Calibri" w:cs="Calibri"/>
          <w:b/>
          <w:bCs/>
          <w:sz w:val="28"/>
          <w:szCs w:val="18"/>
          <w:lang w:val="en-US"/>
        </w:rPr>
      </w:pPr>
      <w:r>
        <w:rPr>
          <w:rFonts w:ascii="Calibri" w:eastAsia="Arial" w:hAnsi="Calibri" w:cs="Calibri"/>
          <w:b/>
          <w:bCs/>
          <w:sz w:val="28"/>
          <w:szCs w:val="18"/>
          <w:lang w:val="en-US"/>
        </w:rPr>
        <w:t>Planning Permis</w:t>
      </w:r>
      <w:r w:rsidR="00761F0B">
        <w:rPr>
          <w:rFonts w:ascii="Calibri" w:eastAsia="Arial" w:hAnsi="Calibri" w:cs="Calibri"/>
          <w:b/>
          <w:bCs/>
          <w:sz w:val="28"/>
          <w:szCs w:val="18"/>
          <w:lang w:val="en-US"/>
        </w:rPr>
        <w:t>sion &amp; Other Statutory Consents</w:t>
      </w:r>
      <w:r w:rsidRPr="00761F0B">
        <w:rPr>
          <w:rFonts w:ascii="Calibri" w:eastAsia="Arial" w:hAnsi="Calibri" w:cs="Calibri"/>
          <w:b/>
          <w:bCs/>
          <w:sz w:val="28"/>
          <w:szCs w:val="18"/>
          <w:lang w:val="en-US"/>
        </w:rPr>
        <w:br/>
      </w:r>
    </w:p>
    <w:p w:rsidR="00726A15" w:rsidRPr="003E08E5" w:rsidRDefault="00726A15" w:rsidP="00726A15">
      <w:pPr>
        <w:pStyle w:val="ListParagraph"/>
        <w:widowControl w:val="0"/>
        <w:numPr>
          <w:ilvl w:val="0"/>
          <w:numId w:val="23"/>
        </w:numPr>
        <w:spacing w:after="0" w:line="240" w:lineRule="auto"/>
        <w:rPr>
          <w:rFonts w:ascii="Calibri" w:eastAsia="Arial" w:hAnsi="Calibri" w:cs="Calibri"/>
          <w:b/>
          <w:bCs/>
          <w:sz w:val="28"/>
          <w:szCs w:val="18"/>
          <w:lang w:val="en-US"/>
        </w:rPr>
      </w:pPr>
      <w:r w:rsidRPr="003E08E5">
        <w:rPr>
          <w:rFonts w:ascii="Calibri" w:eastAsia="Arial" w:hAnsi="Calibri" w:cs="Calibri"/>
          <w:b/>
          <w:bCs/>
          <w:sz w:val="28"/>
          <w:szCs w:val="18"/>
          <w:lang w:val="en-US"/>
        </w:rPr>
        <w:t>Finding More Information</w:t>
      </w:r>
    </w:p>
    <w:p w:rsidR="00726A15" w:rsidRDefault="00726A15" w:rsidP="00F86CA5">
      <w:pPr>
        <w:widowControl w:val="0"/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:rsidR="00726A15" w:rsidRPr="00F86CA5" w:rsidRDefault="00726A15" w:rsidP="00F86CA5">
      <w:pPr>
        <w:widowControl w:val="0"/>
        <w:spacing w:after="0" w:line="240" w:lineRule="auto"/>
        <w:rPr>
          <w:rFonts w:ascii="Arial" w:eastAsia="Arial" w:hAnsi="Arial" w:cs="Arial"/>
          <w:b/>
          <w:bCs/>
          <w:sz w:val="18"/>
          <w:szCs w:val="18"/>
          <w:lang w:val="en-US"/>
        </w:rPr>
      </w:pPr>
    </w:p>
    <w:p w:rsidR="00F86CA5" w:rsidRDefault="00F86CA5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761F0B" w:rsidRDefault="00761F0B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761F0B" w:rsidRDefault="00761F0B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761F0B" w:rsidRDefault="00761F0B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761F0B" w:rsidRDefault="00761F0B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761F0B" w:rsidRDefault="00761F0B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761F0B" w:rsidRDefault="00761F0B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761F0B" w:rsidRDefault="00761F0B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761F0B" w:rsidRDefault="00761F0B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761F0B" w:rsidRDefault="00761F0B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5B30B4" w:rsidRDefault="005B30B4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726A15" w:rsidRPr="00F86CA5" w:rsidRDefault="00726A15" w:rsidP="00F86CA5">
      <w:pPr>
        <w:widowControl w:val="0"/>
        <w:spacing w:after="0" w:line="240" w:lineRule="auto"/>
        <w:ind w:right="239"/>
        <w:rPr>
          <w:rFonts w:ascii="Arial" w:eastAsia="Calibri" w:hAnsi="Arial" w:cs="Arial"/>
          <w:lang w:val="en-US"/>
        </w:rPr>
      </w:pPr>
    </w:p>
    <w:p w:rsidR="00761F0B" w:rsidRDefault="00761F0B">
      <w:r>
        <w:br w:type="page"/>
      </w:r>
    </w:p>
    <w:tbl>
      <w:tblPr>
        <w:tblStyle w:val="TableGrid1"/>
        <w:tblW w:w="0" w:type="auto"/>
        <w:tblInd w:w="142" w:type="dxa"/>
        <w:tblLook w:val="0060" w:firstRow="1" w:lastRow="1" w:firstColumn="0" w:lastColumn="0" w:noHBand="0" w:noVBand="0"/>
      </w:tblPr>
      <w:tblGrid>
        <w:gridCol w:w="8874"/>
      </w:tblGrid>
      <w:tr w:rsidR="00F86CA5" w:rsidRPr="00F86CA5" w:rsidTr="00D419F2">
        <w:trPr>
          <w:trHeight w:val="766"/>
        </w:trPr>
        <w:tc>
          <w:tcPr>
            <w:tcW w:w="0" w:type="auto"/>
            <w:shd w:val="clear" w:color="auto" w:fill="0070C0"/>
            <w:vAlign w:val="center"/>
          </w:tcPr>
          <w:p w:rsidR="00F86CA5" w:rsidRPr="00726A15" w:rsidRDefault="00726A15" w:rsidP="00567153">
            <w:pPr>
              <w:pStyle w:val="ListParagraph"/>
              <w:numPr>
                <w:ilvl w:val="0"/>
                <w:numId w:val="22"/>
              </w:numPr>
              <w:tabs>
                <w:tab w:val="left" w:pos="480"/>
              </w:tabs>
              <w:spacing w:line="275" w:lineRule="auto"/>
              <w:rPr>
                <w:rFonts w:eastAsia="Calibri" w:cstheme="minorHAnsi"/>
                <w:b/>
                <w:color w:val="FFFFFF"/>
                <w:spacing w:val="-1"/>
                <w:sz w:val="32"/>
              </w:rPr>
            </w:pPr>
            <w:r>
              <w:rPr>
                <w:rFonts w:eastAsia="Calibri" w:cstheme="minorHAnsi"/>
                <w:b/>
                <w:color w:val="FFFFFF"/>
                <w:spacing w:val="-1"/>
                <w:sz w:val="32"/>
              </w:rPr>
              <w:lastRenderedPageBreak/>
              <w:t xml:space="preserve"> </w:t>
            </w:r>
            <w:r w:rsidR="00567153">
              <w:rPr>
                <w:rFonts w:eastAsia="Calibri" w:cstheme="minorHAnsi"/>
                <w:b/>
                <w:color w:val="FFFFFF"/>
                <w:spacing w:val="-1"/>
                <w:sz w:val="32"/>
              </w:rPr>
              <w:t>Introduction</w:t>
            </w:r>
          </w:p>
        </w:tc>
      </w:tr>
      <w:tr w:rsidR="00F86CA5" w:rsidRPr="00F86CA5" w:rsidTr="007D273D">
        <w:tc>
          <w:tcPr>
            <w:tcW w:w="0" w:type="auto"/>
            <w:shd w:val="clear" w:color="auto" w:fill="auto"/>
          </w:tcPr>
          <w:p w:rsidR="002457C8" w:rsidRPr="00363A57" w:rsidRDefault="002457C8" w:rsidP="002457C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63A57">
              <w:rPr>
                <w:rFonts w:ascii="Calibri" w:hAnsi="Calibri" w:cs="Calibri"/>
                <w:color w:val="000000"/>
              </w:rPr>
              <w:t>Under the Competition in Connection (CiC) framework prescribed by Ofgem (the government-appointed regulator of electricity distribution networks), anyone requiring a new electricity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63A57">
              <w:rPr>
                <w:rFonts w:ascii="Calibri" w:hAnsi="Calibri" w:cs="Calibri"/>
                <w:color w:val="000000"/>
              </w:rPr>
              <w:t xml:space="preserve">connection can choose either </w:t>
            </w:r>
            <w:r w:rsidR="00D419F2">
              <w:rPr>
                <w:rFonts w:ascii="Calibri" w:hAnsi="Calibri" w:cs="Calibri"/>
                <w:color w:val="000000"/>
              </w:rPr>
              <w:t xml:space="preserve">NGED </w:t>
            </w:r>
            <w:r w:rsidRPr="00363A57">
              <w:rPr>
                <w:rFonts w:ascii="Calibri" w:hAnsi="Calibri" w:cs="Calibri"/>
                <w:color w:val="000000"/>
              </w:rPr>
              <w:t>(which is the licensed Distribution Network Operator (DNO) for the Midlands, South West and South Wales)  or an Independent Connection Provider (ICP) to carry out works to provide that connection.</w:t>
            </w:r>
          </w:p>
          <w:p w:rsidR="005B30B4" w:rsidRPr="002457C8" w:rsidRDefault="002457C8" w:rsidP="00761F0B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63A57">
              <w:rPr>
                <w:rFonts w:ascii="Calibri" w:hAnsi="Calibri" w:cs="Calibri"/>
                <w:color w:val="000000"/>
              </w:rPr>
              <w:t>If an ICP installs the new equipment</w:t>
            </w:r>
            <w:r w:rsidR="00761F0B">
              <w:rPr>
                <w:rFonts w:ascii="Calibri" w:hAnsi="Calibri" w:cs="Calibri"/>
                <w:color w:val="000000"/>
              </w:rPr>
              <w:t xml:space="preserve">, after it has been constructed to the appropriate standard, it is transferred to us.  This process is called </w:t>
            </w:r>
            <w:r w:rsidR="00761F0B" w:rsidRPr="00761F0B">
              <w:rPr>
                <w:rFonts w:ascii="Calibri" w:hAnsi="Calibri" w:cs="Calibri"/>
                <w:i/>
                <w:color w:val="000000"/>
              </w:rPr>
              <w:t>adoption</w:t>
            </w:r>
            <w:r w:rsidR="00761F0B">
              <w:rPr>
                <w:rFonts w:ascii="Calibri" w:hAnsi="Calibri" w:cs="Calibri"/>
                <w:color w:val="000000"/>
              </w:rPr>
              <w:t>.  A</w:t>
            </w:r>
            <w:r w:rsidRPr="00363A57">
              <w:rPr>
                <w:rFonts w:ascii="Calibri" w:hAnsi="Calibri" w:cs="Calibri"/>
                <w:color w:val="000000"/>
              </w:rPr>
              <w:t xml:space="preserve">fter </w:t>
            </w:r>
            <w:r>
              <w:rPr>
                <w:rFonts w:ascii="Calibri" w:hAnsi="Calibri" w:cs="Calibri"/>
                <w:color w:val="000000"/>
              </w:rPr>
              <w:t>adoption</w:t>
            </w:r>
            <w:r w:rsidRPr="00363A57">
              <w:rPr>
                <w:rFonts w:ascii="Calibri" w:hAnsi="Calibri" w:cs="Calibri"/>
                <w:color w:val="000000"/>
              </w:rPr>
              <w:t xml:space="preserve"> the equipment become</w:t>
            </w:r>
            <w:r w:rsidR="00761F0B">
              <w:rPr>
                <w:rFonts w:ascii="Calibri" w:hAnsi="Calibri" w:cs="Calibri"/>
                <w:color w:val="000000"/>
              </w:rPr>
              <w:t>s</w:t>
            </w:r>
            <w:r w:rsidRPr="00363A57">
              <w:rPr>
                <w:rFonts w:ascii="Calibri" w:hAnsi="Calibri" w:cs="Calibri"/>
                <w:color w:val="000000"/>
              </w:rPr>
              <w:t xml:space="preserve"> part of </w:t>
            </w:r>
            <w:r w:rsidR="00761F0B">
              <w:rPr>
                <w:rFonts w:ascii="Calibri" w:hAnsi="Calibri" w:cs="Calibri"/>
                <w:color w:val="000000"/>
              </w:rPr>
              <w:t xml:space="preserve">our </w:t>
            </w:r>
            <w:r w:rsidRPr="00363A57">
              <w:rPr>
                <w:rFonts w:ascii="Calibri" w:hAnsi="Calibri" w:cs="Calibri"/>
                <w:color w:val="000000"/>
              </w:rPr>
              <w:t>network</w:t>
            </w:r>
            <w:r w:rsidR="00761F0B">
              <w:rPr>
                <w:rFonts w:ascii="Calibri" w:hAnsi="Calibri" w:cs="Calibri"/>
                <w:color w:val="000000"/>
              </w:rPr>
              <w:t xml:space="preserve"> </w:t>
            </w:r>
            <w:proofErr w:type="gramStart"/>
            <w:r w:rsidR="00761F0B">
              <w:rPr>
                <w:rFonts w:ascii="Calibri" w:hAnsi="Calibri" w:cs="Calibri"/>
                <w:color w:val="000000"/>
              </w:rPr>
              <w:t>and  t</w:t>
            </w:r>
            <w:r>
              <w:rPr>
                <w:rFonts w:ascii="Calibri" w:hAnsi="Calibri" w:cs="Calibri"/>
                <w:color w:val="000000"/>
              </w:rPr>
              <w:t>hereafter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, </w:t>
            </w:r>
            <w:r w:rsidR="00761F0B">
              <w:rPr>
                <w:rFonts w:ascii="Calibri" w:hAnsi="Calibri" w:cs="Calibri"/>
                <w:color w:val="000000"/>
              </w:rPr>
              <w:t>we are</w:t>
            </w:r>
            <w:r w:rsidRPr="00363A57">
              <w:rPr>
                <w:rFonts w:ascii="Calibri" w:hAnsi="Calibri" w:cs="Calibri"/>
                <w:color w:val="000000"/>
              </w:rPr>
              <w:t xml:space="preserve"> responsible for its future operation, maintenance and renewal.</w:t>
            </w:r>
            <w:r>
              <w:rPr>
                <w:rFonts w:ascii="Calibri" w:hAnsi="Calibri" w:cs="Calibri"/>
                <w:color w:val="000000"/>
              </w:rPr>
              <w:br/>
            </w:r>
          </w:p>
        </w:tc>
      </w:tr>
      <w:tr w:rsidR="00F86CA5" w:rsidRPr="00F86CA5" w:rsidTr="00D419F2">
        <w:trPr>
          <w:trHeight w:val="760"/>
        </w:trPr>
        <w:tc>
          <w:tcPr>
            <w:tcW w:w="0" w:type="auto"/>
            <w:shd w:val="clear" w:color="auto" w:fill="0070C0"/>
            <w:vAlign w:val="center"/>
          </w:tcPr>
          <w:p w:rsidR="00F86CA5" w:rsidRPr="00726A15" w:rsidRDefault="00726A15" w:rsidP="005B30B4">
            <w:pPr>
              <w:pStyle w:val="ListParagraph"/>
              <w:numPr>
                <w:ilvl w:val="0"/>
                <w:numId w:val="22"/>
              </w:numPr>
              <w:tabs>
                <w:tab w:val="left" w:pos="480"/>
              </w:tabs>
              <w:rPr>
                <w:rFonts w:eastAsia="Arial" w:cstheme="minorHAnsi"/>
                <w:b/>
                <w:sz w:val="28"/>
              </w:rPr>
            </w:pPr>
            <w:r>
              <w:rPr>
                <w:rFonts w:eastAsia="Arial" w:cstheme="minorHAnsi"/>
                <w:b/>
                <w:color w:val="FFFFFF"/>
                <w:spacing w:val="-1"/>
                <w:sz w:val="32"/>
              </w:rPr>
              <w:t xml:space="preserve"> </w:t>
            </w:r>
            <w:r w:rsidR="005B30B4">
              <w:rPr>
                <w:rFonts w:eastAsia="Arial" w:cstheme="minorHAnsi"/>
                <w:b/>
                <w:color w:val="FFFFFF"/>
                <w:spacing w:val="-1"/>
                <w:sz w:val="32"/>
              </w:rPr>
              <w:t xml:space="preserve">Landowner Permissions </w:t>
            </w:r>
            <w:r w:rsidR="005B30B4" w:rsidRPr="005B30B4">
              <w:rPr>
                <w:rFonts w:eastAsia="Arial" w:cstheme="minorHAnsi"/>
                <w:b/>
                <w:color w:val="FFFFFF"/>
                <w:spacing w:val="-1"/>
                <w:sz w:val="24"/>
              </w:rPr>
              <w:t xml:space="preserve">(Land </w:t>
            </w:r>
            <w:r w:rsidR="004971EF">
              <w:rPr>
                <w:rFonts w:eastAsia="Arial" w:cstheme="minorHAnsi"/>
                <w:b/>
                <w:color w:val="FFFFFF"/>
                <w:spacing w:val="-1"/>
                <w:sz w:val="24"/>
              </w:rPr>
              <w:t xml:space="preserve">and Land </w:t>
            </w:r>
            <w:r w:rsidR="005B30B4" w:rsidRPr="005B30B4">
              <w:rPr>
                <w:rFonts w:eastAsia="Arial" w:cstheme="minorHAnsi"/>
                <w:b/>
                <w:color w:val="FFFFFF"/>
                <w:spacing w:val="-1"/>
                <w:sz w:val="24"/>
              </w:rPr>
              <w:t>Rights Agreements)</w:t>
            </w:r>
          </w:p>
        </w:tc>
        <w:bookmarkStart w:id="0" w:name="_GoBack"/>
        <w:bookmarkEnd w:id="0"/>
      </w:tr>
      <w:tr w:rsidR="00F86CA5" w:rsidRPr="00F86CA5" w:rsidTr="007D273D">
        <w:tc>
          <w:tcPr>
            <w:tcW w:w="0" w:type="auto"/>
            <w:shd w:val="clear" w:color="auto" w:fill="auto"/>
          </w:tcPr>
          <w:p w:rsidR="002457C8" w:rsidRPr="00363A57" w:rsidRDefault="002457C8" w:rsidP="002457C8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63A57">
              <w:rPr>
                <w:rFonts w:ascii="Calibri" w:hAnsi="Calibri" w:cs="Calibri"/>
                <w:color w:val="000000"/>
              </w:rPr>
              <w:t xml:space="preserve">Where an ICP wants to install equipment across private land, prior to </w:t>
            </w:r>
            <w:r w:rsidR="00761F0B">
              <w:rPr>
                <w:rFonts w:ascii="Calibri" w:hAnsi="Calibri" w:cs="Calibri"/>
                <w:color w:val="000000"/>
              </w:rPr>
              <w:t>us</w:t>
            </w:r>
            <w:r w:rsidRPr="00363A57">
              <w:rPr>
                <w:rFonts w:ascii="Calibri" w:hAnsi="Calibri" w:cs="Calibri"/>
                <w:color w:val="000000"/>
              </w:rPr>
              <w:t xml:space="preserve"> adopting the equipment, the ICP will need its own consent from landowners.  The following are relevant in this respect:</w:t>
            </w:r>
          </w:p>
          <w:p w:rsidR="002457C8" w:rsidRPr="00363A57" w:rsidRDefault="002457C8" w:rsidP="002457C8">
            <w:pPr>
              <w:pStyle w:val="ListParagraph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63A57">
              <w:rPr>
                <w:rFonts w:ascii="Calibri" w:hAnsi="Calibri" w:cs="Calibri"/>
                <w:color w:val="000000"/>
              </w:rPr>
              <w:t xml:space="preserve">Where the ICP initially determines the position of equipment and negotiates with landowners, </w:t>
            </w:r>
            <w:r>
              <w:rPr>
                <w:rFonts w:ascii="Calibri" w:hAnsi="Calibri" w:cs="Calibri"/>
                <w:color w:val="000000"/>
              </w:rPr>
              <w:t>it</w:t>
            </w:r>
            <w:r w:rsidRPr="00363A57">
              <w:rPr>
                <w:rFonts w:ascii="Calibri" w:hAnsi="Calibri" w:cs="Calibri"/>
                <w:color w:val="000000"/>
              </w:rPr>
              <w:t xml:space="preserve"> will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63A57">
              <w:rPr>
                <w:rFonts w:ascii="Calibri" w:hAnsi="Calibri" w:cs="Calibri"/>
                <w:color w:val="000000"/>
              </w:rPr>
              <w:t>need to enter into a separate agreement with the landowner for the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63A57">
              <w:rPr>
                <w:rFonts w:ascii="Calibri" w:hAnsi="Calibri" w:cs="Calibri"/>
                <w:color w:val="000000"/>
              </w:rPr>
              <w:t>construction/installation stage, taking on liability for matters such as reinstatement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363A57">
              <w:rPr>
                <w:rFonts w:ascii="Calibri" w:hAnsi="Calibri" w:cs="Calibri"/>
                <w:color w:val="000000"/>
              </w:rPr>
              <w:t>and damage</w:t>
            </w:r>
            <w:r>
              <w:rPr>
                <w:rFonts w:ascii="Calibri" w:hAnsi="Calibri" w:cs="Calibri"/>
                <w:color w:val="000000"/>
              </w:rPr>
              <w:t xml:space="preserve">. </w:t>
            </w:r>
            <w:r w:rsidR="00D419F2">
              <w:rPr>
                <w:rFonts w:ascii="Calibri" w:hAnsi="Calibri" w:cs="Calibri"/>
                <w:color w:val="000000"/>
              </w:rPr>
              <w:t xml:space="preserve">NGED </w:t>
            </w:r>
            <w:r>
              <w:rPr>
                <w:rFonts w:ascii="Calibri" w:hAnsi="Calibri" w:cs="Calibri"/>
                <w:color w:val="000000"/>
              </w:rPr>
              <w:t>will have no liability for the equipment in the period before adoption</w:t>
            </w:r>
            <w:r w:rsidRPr="00363A57">
              <w:rPr>
                <w:rFonts w:ascii="Calibri" w:hAnsi="Calibri" w:cs="Calibri"/>
                <w:color w:val="000000"/>
              </w:rPr>
              <w:t>.</w:t>
            </w:r>
          </w:p>
          <w:p w:rsidR="002457C8" w:rsidRPr="002457C8" w:rsidRDefault="002457C8" w:rsidP="002457C8">
            <w:pPr>
              <w:pStyle w:val="ListParagraph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2457C8">
              <w:rPr>
                <w:rFonts w:ascii="Calibri" w:hAnsi="Calibri" w:cs="Calibri"/>
                <w:color w:val="000000"/>
              </w:rPr>
              <w:t xml:space="preserve">Where </w:t>
            </w:r>
            <w:r w:rsidR="00D419F2">
              <w:rPr>
                <w:rFonts w:ascii="Calibri" w:hAnsi="Calibri" w:cs="Calibri"/>
                <w:color w:val="000000"/>
              </w:rPr>
              <w:t xml:space="preserve">NGED </w:t>
            </w:r>
            <w:r w:rsidRPr="002457C8">
              <w:rPr>
                <w:rFonts w:ascii="Calibri" w:hAnsi="Calibri" w:cs="Calibri"/>
                <w:color w:val="000000"/>
              </w:rPr>
              <w:t xml:space="preserve">carries out the initial discussions with landowners and terms </w:t>
            </w:r>
            <w:proofErr w:type="gramStart"/>
            <w:r w:rsidRPr="002457C8">
              <w:rPr>
                <w:rFonts w:ascii="Calibri" w:hAnsi="Calibri" w:cs="Calibri"/>
                <w:color w:val="000000"/>
              </w:rPr>
              <w:t>are agreed</w:t>
            </w:r>
            <w:proofErr w:type="gramEnd"/>
            <w:r w:rsidRPr="002457C8">
              <w:rPr>
                <w:rFonts w:ascii="Calibri" w:hAnsi="Calibri" w:cs="Calibri"/>
                <w:color w:val="000000"/>
              </w:rPr>
              <w:t xml:space="preserve"> in principle, </w:t>
            </w:r>
            <w:r w:rsidR="00D419F2">
              <w:rPr>
                <w:rFonts w:ascii="Calibri" w:hAnsi="Calibri" w:cs="Calibri"/>
                <w:color w:val="000000"/>
              </w:rPr>
              <w:t xml:space="preserve">NGED </w:t>
            </w:r>
            <w:r w:rsidRPr="002457C8">
              <w:rPr>
                <w:rFonts w:ascii="Calibri" w:hAnsi="Calibri" w:cs="Calibri"/>
                <w:color w:val="000000"/>
              </w:rPr>
              <w:t>will inform landowners that an ICP will be responsible for installation of the equipment (including agreeing access, reinstatement, repairing damage etc</w:t>
            </w:r>
            <w:r w:rsidR="00D419F2">
              <w:rPr>
                <w:rFonts w:ascii="Calibri" w:hAnsi="Calibri" w:cs="Calibri"/>
                <w:color w:val="000000"/>
              </w:rPr>
              <w:t>.</w:t>
            </w:r>
            <w:r w:rsidRPr="002457C8">
              <w:rPr>
                <w:rFonts w:ascii="Calibri" w:hAnsi="Calibri" w:cs="Calibri"/>
                <w:color w:val="000000"/>
              </w:rPr>
              <w:t xml:space="preserve">). The ICP and landowner will then need to agree separate terms to cover the installation of the equipment as again, </w:t>
            </w:r>
            <w:r w:rsidR="00D419F2">
              <w:rPr>
                <w:rFonts w:ascii="Calibri" w:hAnsi="Calibri" w:cs="Calibri"/>
                <w:color w:val="000000"/>
              </w:rPr>
              <w:t xml:space="preserve">NGED </w:t>
            </w:r>
            <w:r w:rsidRPr="002457C8">
              <w:rPr>
                <w:rFonts w:ascii="Calibri" w:hAnsi="Calibri" w:cs="Calibri"/>
                <w:color w:val="000000"/>
              </w:rPr>
              <w:t xml:space="preserve">will have no liability for </w:t>
            </w:r>
            <w:r>
              <w:rPr>
                <w:rFonts w:ascii="Calibri" w:hAnsi="Calibri" w:cs="Calibri"/>
                <w:color w:val="000000"/>
              </w:rPr>
              <w:t xml:space="preserve">it until it </w:t>
            </w:r>
            <w:proofErr w:type="gramStart"/>
            <w:r>
              <w:rPr>
                <w:rFonts w:ascii="Calibri" w:hAnsi="Calibri" w:cs="Calibri"/>
                <w:color w:val="000000"/>
              </w:rPr>
              <w:t>has been adopted</w:t>
            </w:r>
            <w:proofErr w:type="gramEnd"/>
            <w:r w:rsidRPr="002457C8">
              <w:rPr>
                <w:rFonts w:ascii="Calibri" w:hAnsi="Calibri" w:cs="Calibri"/>
                <w:color w:val="000000"/>
              </w:rPr>
              <w:t>.</w:t>
            </w:r>
          </w:p>
          <w:p w:rsidR="002457C8" w:rsidRDefault="002457C8" w:rsidP="002457C8">
            <w:pPr>
              <w:pStyle w:val="ListParagraph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In addition to any installation agreement between the ICP and the landowner, </w:t>
            </w:r>
            <w:r w:rsidR="00D419F2">
              <w:rPr>
                <w:rFonts w:ascii="Calibri" w:hAnsi="Calibri" w:cs="Calibri"/>
                <w:color w:val="000000"/>
              </w:rPr>
              <w:t xml:space="preserve">NGED </w:t>
            </w:r>
            <w:r w:rsidRPr="002457C8">
              <w:rPr>
                <w:rFonts w:ascii="Calibri" w:hAnsi="Calibri" w:cs="Calibri"/>
                <w:color w:val="000000"/>
              </w:rPr>
              <w:t xml:space="preserve">will require separate Wayleaves or Deeds to </w:t>
            </w:r>
            <w:proofErr w:type="gramStart"/>
            <w:r w:rsidRPr="002457C8">
              <w:rPr>
                <w:rFonts w:ascii="Calibri" w:hAnsi="Calibri" w:cs="Calibri"/>
                <w:color w:val="000000"/>
              </w:rPr>
              <w:t>be completed</w:t>
            </w:r>
            <w:proofErr w:type="gramEnd"/>
            <w:r w:rsidRPr="002457C8">
              <w:rPr>
                <w:rFonts w:ascii="Calibri" w:hAnsi="Calibri" w:cs="Calibri"/>
                <w:color w:val="000000"/>
              </w:rPr>
              <w:t xml:space="preserve"> in WPD’s </w:t>
            </w:r>
            <w:r>
              <w:rPr>
                <w:rFonts w:ascii="Calibri" w:hAnsi="Calibri" w:cs="Calibri"/>
                <w:color w:val="000000"/>
              </w:rPr>
              <w:t xml:space="preserve">before it adopts the equipment.  </w:t>
            </w:r>
            <w:r w:rsidRPr="002457C8">
              <w:rPr>
                <w:rFonts w:ascii="Calibri" w:hAnsi="Calibri" w:cs="Calibri"/>
                <w:color w:val="000000"/>
              </w:rPr>
              <w:t xml:space="preserve"> These agreements will govern </w:t>
            </w:r>
            <w:r w:rsidR="00D419F2">
              <w:rPr>
                <w:rFonts w:ascii="Calibri" w:hAnsi="Calibri" w:cs="Calibri"/>
                <w:color w:val="000000"/>
              </w:rPr>
              <w:t>NGE</w:t>
            </w:r>
            <w:r>
              <w:rPr>
                <w:rFonts w:ascii="Calibri" w:hAnsi="Calibri" w:cs="Calibri"/>
                <w:color w:val="000000"/>
              </w:rPr>
              <w:t>D’s</w:t>
            </w:r>
            <w:r w:rsidRPr="002457C8">
              <w:rPr>
                <w:rFonts w:ascii="Calibri" w:hAnsi="Calibri" w:cs="Calibri"/>
                <w:color w:val="000000"/>
              </w:rPr>
              <w:t xml:space="preserve"> future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2457C8">
              <w:rPr>
                <w:rFonts w:ascii="Calibri" w:hAnsi="Calibri" w:cs="Calibri"/>
                <w:color w:val="000000"/>
              </w:rPr>
              <w:t xml:space="preserve">relationship </w:t>
            </w:r>
            <w:r>
              <w:rPr>
                <w:rFonts w:ascii="Calibri" w:hAnsi="Calibri" w:cs="Calibri"/>
                <w:color w:val="000000"/>
              </w:rPr>
              <w:t>with</w:t>
            </w:r>
            <w:r w:rsidRPr="002457C8">
              <w:rPr>
                <w:rFonts w:ascii="Calibri" w:hAnsi="Calibri" w:cs="Calibri"/>
                <w:color w:val="000000"/>
              </w:rPr>
              <w:t xml:space="preserve"> the landowner for access and the maintenance</w:t>
            </w:r>
            <w:r>
              <w:rPr>
                <w:rFonts w:ascii="Calibri" w:hAnsi="Calibri" w:cs="Calibri"/>
                <w:color w:val="000000"/>
              </w:rPr>
              <w:t>/</w:t>
            </w:r>
            <w:r w:rsidRPr="002457C8">
              <w:rPr>
                <w:rFonts w:ascii="Calibri" w:hAnsi="Calibri" w:cs="Calibri"/>
                <w:color w:val="000000"/>
              </w:rPr>
              <w:t xml:space="preserve">replacement of the equipment. 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:rsidR="00761F0B" w:rsidRDefault="002457C8" w:rsidP="00761F0B">
            <w:pPr>
              <w:pStyle w:val="ListParagraph"/>
              <w:numPr>
                <w:ilvl w:val="1"/>
                <w:numId w:val="2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Usually the ICP will negotiate with the</w:t>
            </w:r>
            <w:r w:rsidR="00D419F2">
              <w:rPr>
                <w:rFonts w:ascii="Calibri" w:hAnsi="Calibri" w:cs="Calibri"/>
                <w:color w:val="000000"/>
              </w:rPr>
              <w:t xml:space="preserve"> landowner to agree terms for NGE</w:t>
            </w:r>
            <w:r>
              <w:rPr>
                <w:rFonts w:ascii="Calibri" w:hAnsi="Calibri" w:cs="Calibri"/>
                <w:color w:val="000000"/>
              </w:rPr>
              <w:t>D’s rights.</w:t>
            </w:r>
          </w:p>
          <w:p w:rsidR="005B30B4" w:rsidRPr="00F86CA5" w:rsidRDefault="005B30B4" w:rsidP="00761F0B">
            <w:pPr>
              <w:pStyle w:val="ListParagraph"/>
              <w:autoSpaceDE w:val="0"/>
              <w:autoSpaceDN w:val="0"/>
              <w:adjustRightInd w:val="0"/>
              <w:ind w:left="1080"/>
              <w:rPr>
                <w:rFonts w:eastAsia="Arial" w:cstheme="minorHAnsi"/>
              </w:rPr>
            </w:pPr>
          </w:p>
        </w:tc>
      </w:tr>
      <w:tr w:rsidR="00F86CA5" w:rsidRPr="00F86CA5" w:rsidTr="00D419F2">
        <w:trPr>
          <w:trHeight w:val="706"/>
        </w:trPr>
        <w:tc>
          <w:tcPr>
            <w:tcW w:w="0" w:type="auto"/>
            <w:shd w:val="clear" w:color="auto" w:fill="0070C0"/>
            <w:vAlign w:val="center"/>
          </w:tcPr>
          <w:p w:rsidR="00F86CA5" w:rsidRPr="00726A15" w:rsidRDefault="00726A15" w:rsidP="005B30B4">
            <w:pPr>
              <w:pStyle w:val="ListParagraph"/>
              <w:numPr>
                <w:ilvl w:val="0"/>
                <w:numId w:val="22"/>
              </w:numPr>
              <w:tabs>
                <w:tab w:val="left" w:pos="480"/>
              </w:tabs>
              <w:rPr>
                <w:rFonts w:eastAsia="Calibri" w:cstheme="minorHAnsi"/>
                <w:b/>
                <w:color w:val="FFFFFF"/>
                <w:spacing w:val="-1"/>
                <w:sz w:val="28"/>
                <w:szCs w:val="28"/>
              </w:rPr>
            </w:pPr>
            <w:r>
              <w:rPr>
                <w:rFonts w:eastAsia="Calibri" w:cstheme="minorHAnsi"/>
                <w:b/>
                <w:color w:val="FFFFFF"/>
                <w:spacing w:val="-1"/>
                <w:sz w:val="32"/>
                <w:szCs w:val="28"/>
              </w:rPr>
              <w:t xml:space="preserve"> </w:t>
            </w:r>
            <w:r w:rsidR="005B30B4">
              <w:rPr>
                <w:rFonts w:eastAsia="Calibri" w:cstheme="minorHAnsi"/>
                <w:b/>
                <w:color w:val="FFFFFF"/>
                <w:spacing w:val="-1"/>
                <w:sz w:val="32"/>
                <w:szCs w:val="28"/>
              </w:rPr>
              <w:t>Planning Permission &amp; Other Statutory Consents</w:t>
            </w:r>
          </w:p>
        </w:tc>
      </w:tr>
      <w:tr w:rsidR="00F86CA5" w:rsidRPr="00F86CA5" w:rsidTr="007D273D">
        <w:tc>
          <w:tcPr>
            <w:tcW w:w="0" w:type="auto"/>
            <w:shd w:val="clear" w:color="auto" w:fill="auto"/>
          </w:tcPr>
          <w:p w:rsidR="00761F0B" w:rsidRPr="00761F0B" w:rsidRDefault="00D419F2" w:rsidP="00761F0B">
            <w:pPr>
              <w:pStyle w:val="ListParagraph"/>
              <w:numPr>
                <w:ilvl w:val="0"/>
                <w:numId w:val="20"/>
              </w:num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Unless otherwise agreed with NGE</w:t>
            </w:r>
            <w:r w:rsidR="00761F0B" w:rsidRPr="00761F0B">
              <w:rPr>
                <w:rFonts w:eastAsia="Calibri" w:cstheme="minorHAnsi"/>
              </w:rPr>
              <w:t xml:space="preserve">D, </w:t>
            </w:r>
            <w:r w:rsidR="00761F0B">
              <w:rPr>
                <w:rFonts w:eastAsia="Calibri" w:cstheme="minorHAnsi"/>
              </w:rPr>
              <w:t xml:space="preserve">any </w:t>
            </w:r>
            <w:r w:rsidR="00761F0B" w:rsidRPr="00761F0B">
              <w:rPr>
                <w:rFonts w:eastAsia="Calibri" w:cstheme="minorHAnsi"/>
              </w:rPr>
              <w:t xml:space="preserve">statutory consents or other </w:t>
            </w:r>
            <w:proofErr w:type="gramStart"/>
            <w:r w:rsidR="00761F0B" w:rsidRPr="00761F0B">
              <w:rPr>
                <w:rFonts w:eastAsia="Calibri" w:cstheme="minorHAnsi"/>
              </w:rPr>
              <w:t>permissions which are required for the ICP’s works (for example planning permission or environmental consents)</w:t>
            </w:r>
            <w:proofErr w:type="gramEnd"/>
            <w:r w:rsidR="00761F0B" w:rsidRPr="00761F0B">
              <w:rPr>
                <w:rFonts w:eastAsia="Calibri" w:cstheme="minorHAnsi"/>
              </w:rPr>
              <w:t xml:space="preserve"> are usually obtained by the ICP.</w:t>
            </w:r>
          </w:p>
          <w:p w:rsidR="005B30B4" w:rsidRPr="00F86CA5" w:rsidRDefault="005B30B4" w:rsidP="00761F0B">
            <w:pPr>
              <w:tabs>
                <w:tab w:val="left" w:pos="480"/>
              </w:tabs>
              <w:ind w:left="360"/>
              <w:jc w:val="both"/>
              <w:rPr>
                <w:rFonts w:eastAsia="Calibri" w:cstheme="minorHAnsi"/>
                <w:b/>
              </w:rPr>
            </w:pPr>
          </w:p>
        </w:tc>
      </w:tr>
      <w:tr w:rsidR="00F86CA5" w:rsidRPr="00F86CA5" w:rsidTr="00D419F2">
        <w:trPr>
          <w:trHeight w:val="586"/>
        </w:trPr>
        <w:tc>
          <w:tcPr>
            <w:tcW w:w="0" w:type="auto"/>
            <w:shd w:val="clear" w:color="auto" w:fill="0070C0"/>
            <w:vAlign w:val="center"/>
          </w:tcPr>
          <w:p w:rsidR="00F86CA5" w:rsidRPr="00726A15" w:rsidRDefault="00726A15" w:rsidP="00726A15">
            <w:pPr>
              <w:pStyle w:val="ListParagraph"/>
              <w:numPr>
                <w:ilvl w:val="0"/>
                <w:numId w:val="22"/>
              </w:numPr>
              <w:tabs>
                <w:tab w:val="left" w:pos="480"/>
              </w:tabs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color w:val="FFFFFF"/>
                <w:sz w:val="32"/>
                <w:szCs w:val="28"/>
              </w:rPr>
              <w:t xml:space="preserve"> </w:t>
            </w:r>
            <w:r w:rsidR="00F86CA5" w:rsidRPr="00726A15">
              <w:rPr>
                <w:rFonts w:eastAsia="Calibri" w:cstheme="minorHAnsi"/>
                <w:b/>
                <w:color w:val="FFFFFF"/>
                <w:sz w:val="32"/>
                <w:szCs w:val="28"/>
              </w:rPr>
              <w:t>Finding More Information</w:t>
            </w:r>
          </w:p>
        </w:tc>
      </w:tr>
      <w:tr w:rsidR="00F86CA5" w:rsidRPr="00F86CA5" w:rsidTr="007D273D">
        <w:tc>
          <w:tcPr>
            <w:tcW w:w="0" w:type="auto"/>
            <w:shd w:val="clear" w:color="auto" w:fill="auto"/>
          </w:tcPr>
          <w:p w:rsidR="00F86CA5" w:rsidRPr="00F86CA5" w:rsidRDefault="00F86CA5" w:rsidP="00F86CA5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</w:rPr>
            </w:pPr>
            <w:r w:rsidRPr="00F86CA5">
              <w:rPr>
                <w:rFonts w:eastAsia="Calibri" w:cstheme="minorHAnsi"/>
              </w:rPr>
              <w:t>Please visit our website:</w:t>
            </w:r>
          </w:p>
          <w:p w:rsidR="00F86CA5" w:rsidRPr="00F86CA5" w:rsidRDefault="00D419F2" w:rsidP="00F86CA5">
            <w:pPr>
              <w:autoSpaceDE w:val="0"/>
              <w:autoSpaceDN w:val="0"/>
              <w:adjustRightInd w:val="0"/>
              <w:jc w:val="both"/>
              <w:rPr>
                <w:rFonts w:eastAsia="Arial" w:cstheme="minorHAnsi"/>
                <w:color w:val="0000FF"/>
                <w:spacing w:val="-1"/>
                <w:u w:val="single"/>
              </w:rPr>
            </w:pPr>
            <w:hyperlink r:id="rId8" w:history="1">
              <w:r w:rsidR="00F86CA5" w:rsidRPr="004112BA">
                <w:rPr>
                  <w:rFonts w:eastAsia="Arial" w:cstheme="minorHAnsi"/>
                  <w:color w:val="0000FF"/>
                  <w:spacing w:val="-1"/>
                  <w:sz w:val="24"/>
                  <w:szCs w:val="24"/>
                  <w:highlight w:val="yellow"/>
                  <w:u w:val="single"/>
                </w:rPr>
                <w:t>https://www.westernpower.co.uk/getattachment/Connections/Competition-in-Connections/Legal-Permissions-and-Consents</w:t>
              </w:r>
            </w:hyperlink>
          </w:p>
          <w:p w:rsidR="00F86CA5" w:rsidRPr="00F86CA5" w:rsidRDefault="00F86CA5" w:rsidP="00F86CA5">
            <w:pPr>
              <w:autoSpaceDE w:val="0"/>
              <w:autoSpaceDN w:val="0"/>
              <w:adjustRightInd w:val="0"/>
              <w:jc w:val="both"/>
              <w:rPr>
                <w:rFonts w:eastAsia="Calibri" w:cstheme="minorHAnsi"/>
                <w:color w:val="000000"/>
              </w:rPr>
            </w:pPr>
          </w:p>
        </w:tc>
      </w:tr>
    </w:tbl>
    <w:p w:rsidR="00F86CA5" w:rsidRPr="00F86CA5" w:rsidRDefault="00F86CA5" w:rsidP="00F86CA5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sectPr w:rsidR="00F86CA5" w:rsidRPr="00F86CA5" w:rsidSect="00D97CE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CEB" w:rsidRDefault="00494CEB" w:rsidP="00D97CE2">
      <w:pPr>
        <w:spacing w:after="0" w:line="240" w:lineRule="auto"/>
      </w:pPr>
      <w:r>
        <w:separator/>
      </w:r>
    </w:p>
  </w:endnote>
  <w:endnote w:type="continuationSeparator" w:id="0">
    <w:p w:rsidR="00494CEB" w:rsidRDefault="00494CEB" w:rsidP="00D9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1F8" w:rsidRDefault="004D51F8" w:rsidP="00F86CA5">
    <w:pPr>
      <w:spacing w:after="0"/>
    </w:pPr>
  </w:p>
  <w:p w:rsidR="004D51F8" w:rsidRDefault="004D5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CEB" w:rsidRDefault="00494CEB" w:rsidP="00D97CE2">
      <w:pPr>
        <w:spacing w:after="0" w:line="240" w:lineRule="auto"/>
      </w:pPr>
      <w:r>
        <w:separator/>
      </w:r>
    </w:p>
  </w:footnote>
  <w:footnote w:type="continuationSeparator" w:id="0">
    <w:p w:rsidR="00494CEB" w:rsidRDefault="00494CEB" w:rsidP="00D9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41" w:type="dxa"/>
      <w:jc w:val="center"/>
      <w:tblBorders>
        <w:top w:val="none" w:sz="0" w:space="0" w:color="auto"/>
        <w:left w:val="none" w:sz="0" w:space="0" w:color="auto"/>
        <w:bottom w:val="single" w:sz="12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35"/>
      <w:gridCol w:w="3094"/>
      <w:gridCol w:w="3212"/>
    </w:tblGrid>
    <w:tr w:rsidR="00D97CE2" w:rsidRPr="00D97CE2" w:rsidTr="00D419F2">
      <w:trPr>
        <w:jc w:val="center"/>
      </w:trPr>
      <w:tc>
        <w:tcPr>
          <w:tcW w:w="3235" w:type="dxa"/>
          <w:vAlign w:val="center"/>
        </w:tcPr>
        <w:p w:rsidR="00D97CE2" w:rsidRPr="00D97CE2" w:rsidRDefault="00B764B6" w:rsidP="00D97CE2">
          <w:pPr>
            <w:pStyle w:val="Header"/>
            <w:rPr>
              <w:b/>
            </w:rPr>
          </w:pPr>
          <w:r w:rsidRPr="00F86CA5">
            <w:rPr>
              <w:b/>
              <w:sz w:val="36"/>
            </w:rPr>
            <w:t>New Connections Legal Process</w:t>
          </w:r>
        </w:p>
      </w:tc>
      <w:tc>
        <w:tcPr>
          <w:tcW w:w="3094" w:type="dxa"/>
          <w:vAlign w:val="bottom"/>
        </w:tcPr>
        <w:p w:rsidR="00D97CE2" w:rsidRPr="00D97CE2" w:rsidRDefault="00D97CE2" w:rsidP="00DA18B3">
          <w:pPr>
            <w:pStyle w:val="Header"/>
            <w:jc w:val="center"/>
          </w:pPr>
        </w:p>
      </w:tc>
      <w:tc>
        <w:tcPr>
          <w:tcW w:w="3212" w:type="dxa"/>
          <w:vAlign w:val="center"/>
        </w:tcPr>
        <w:p w:rsidR="00D97CE2" w:rsidRPr="00D97CE2" w:rsidRDefault="00D419F2" w:rsidP="00D97CE2">
          <w:pPr>
            <w:pStyle w:val="Header"/>
            <w:jc w:val="right"/>
          </w:pPr>
          <w:r w:rsidRPr="0089280F">
            <w:rPr>
              <w:noProof/>
            </w:rPr>
            <w:drawing>
              <wp:inline distT="0" distB="0" distL="0" distR="0" wp14:anchorId="221B122B" wp14:editId="0394B1A6">
                <wp:extent cx="1769110" cy="381000"/>
                <wp:effectExtent l="0" t="0" r="2540" b="0"/>
                <wp:docPr id="1" name="Picture 1" descr="F:\NG Logo\NG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:\NG Logo\NG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8546" cy="3894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97CE2" w:rsidRDefault="00D97C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B17"/>
    <w:multiLevelType w:val="hybridMultilevel"/>
    <w:tmpl w:val="E52E9DB0"/>
    <w:lvl w:ilvl="0" w:tplc="468855DA">
      <w:start w:val="14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A6A38"/>
    <w:multiLevelType w:val="hybridMultilevel"/>
    <w:tmpl w:val="582625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842F8F"/>
    <w:multiLevelType w:val="hybridMultilevel"/>
    <w:tmpl w:val="EB5E2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36411"/>
    <w:multiLevelType w:val="hybridMultilevel"/>
    <w:tmpl w:val="372CF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1BFB"/>
    <w:multiLevelType w:val="hybridMultilevel"/>
    <w:tmpl w:val="5BDA5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146CB8"/>
    <w:multiLevelType w:val="hybridMultilevel"/>
    <w:tmpl w:val="AC56D6CC"/>
    <w:lvl w:ilvl="0" w:tplc="B3123AF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BD778B"/>
    <w:multiLevelType w:val="hybridMultilevel"/>
    <w:tmpl w:val="7B722492"/>
    <w:lvl w:ilvl="0" w:tplc="B3123AF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9A0348"/>
    <w:multiLevelType w:val="hybridMultilevel"/>
    <w:tmpl w:val="094283E2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8" w15:restartNumberingAfterBreak="0">
    <w:nsid w:val="3DB51340"/>
    <w:multiLevelType w:val="hybridMultilevel"/>
    <w:tmpl w:val="E3FCFE9C"/>
    <w:lvl w:ilvl="0" w:tplc="624A3AE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E96A60"/>
    <w:multiLevelType w:val="hybridMultilevel"/>
    <w:tmpl w:val="75223B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9658A7"/>
    <w:multiLevelType w:val="hybridMultilevel"/>
    <w:tmpl w:val="F9B67832"/>
    <w:lvl w:ilvl="0" w:tplc="B3123AF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2B249E"/>
    <w:multiLevelType w:val="hybridMultilevel"/>
    <w:tmpl w:val="BB74E76C"/>
    <w:lvl w:ilvl="0" w:tplc="B3123AF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E0BDE"/>
    <w:multiLevelType w:val="hybridMultilevel"/>
    <w:tmpl w:val="D9F64410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9683599"/>
    <w:multiLevelType w:val="hybridMultilevel"/>
    <w:tmpl w:val="C59225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B01F5"/>
    <w:multiLevelType w:val="hybridMultilevel"/>
    <w:tmpl w:val="76144D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E421E0"/>
    <w:multiLevelType w:val="hybridMultilevel"/>
    <w:tmpl w:val="8B640A3E"/>
    <w:lvl w:ilvl="0" w:tplc="B3123AF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8508ED"/>
    <w:multiLevelType w:val="hybridMultilevel"/>
    <w:tmpl w:val="C55035F4"/>
    <w:lvl w:ilvl="0" w:tplc="2B862B72">
      <w:start w:val="1"/>
      <w:numFmt w:val="bullet"/>
      <w:lvlText w:val="•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DD5C50"/>
    <w:multiLevelType w:val="hybridMultilevel"/>
    <w:tmpl w:val="5EEE3FD8"/>
    <w:lvl w:ilvl="0" w:tplc="B3123AF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E0258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2C252B"/>
    <w:multiLevelType w:val="hybridMultilevel"/>
    <w:tmpl w:val="3EBAD4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1187CAF"/>
    <w:multiLevelType w:val="hybridMultilevel"/>
    <w:tmpl w:val="14C662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6A970F9"/>
    <w:multiLevelType w:val="hybridMultilevel"/>
    <w:tmpl w:val="1AC0B44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8494BFC"/>
    <w:multiLevelType w:val="hybridMultilevel"/>
    <w:tmpl w:val="DB526316"/>
    <w:lvl w:ilvl="0" w:tplc="B3123AF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7A3538"/>
    <w:multiLevelType w:val="hybridMultilevel"/>
    <w:tmpl w:val="EDC433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079BA"/>
    <w:multiLevelType w:val="hybridMultilevel"/>
    <w:tmpl w:val="C05042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21"/>
  </w:num>
  <w:num w:numId="4">
    <w:abstractNumId w:val="20"/>
  </w:num>
  <w:num w:numId="5">
    <w:abstractNumId w:val="19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14"/>
  </w:num>
  <w:num w:numId="11">
    <w:abstractNumId w:val="13"/>
  </w:num>
  <w:num w:numId="12">
    <w:abstractNumId w:val="0"/>
  </w:num>
  <w:num w:numId="13">
    <w:abstractNumId w:val="15"/>
  </w:num>
  <w:num w:numId="14">
    <w:abstractNumId w:val="11"/>
  </w:num>
  <w:num w:numId="15">
    <w:abstractNumId w:val="5"/>
  </w:num>
  <w:num w:numId="16">
    <w:abstractNumId w:val="22"/>
  </w:num>
  <w:num w:numId="17">
    <w:abstractNumId w:val="10"/>
  </w:num>
  <w:num w:numId="18">
    <w:abstractNumId w:val="6"/>
  </w:num>
  <w:num w:numId="19">
    <w:abstractNumId w:val="17"/>
  </w:num>
  <w:num w:numId="20">
    <w:abstractNumId w:val="16"/>
  </w:num>
  <w:num w:numId="21">
    <w:abstractNumId w:val="9"/>
  </w:num>
  <w:num w:numId="22">
    <w:abstractNumId w:val="8"/>
  </w:num>
  <w:num w:numId="23">
    <w:abstractNumId w:val="18"/>
  </w:num>
  <w:num w:numId="24">
    <w:abstractNumId w:val="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51C"/>
    <w:rsid w:val="000106BA"/>
    <w:rsid w:val="00044455"/>
    <w:rsid w:val="0005721C"/>
    <w:rsid w:val="00067EFF"/>
    <w:rsid w:val="000A2997"/>
    <w:rsid w:val="000B14AB"/>
    <w:rsid w:val="000D70A6"/>
    <w:rsid w:val="0013554C"/>
    <w:rsid w:val="00166E4B"/>
    <w:rsid w:val="0017532E"/>
    <w:rsid w:val="001B2591"/>
    <w:rsid w:val="001C000B"/>
    <w:rsid w:val="001D28FA"/>
    <w:rsid w:val="00213349"/>
    <w:rsid w:val="002457C8"/>
    <w:rsid w:val="0030319C"/>
    <w:rsid w:val="00363A57"/>
    <w:rsid w:val="00366A4C"/>
    <w:rsid w:val="00380F34"/>
    <w:rsid w:val="003D2C92"/>
    <w:rsid w:val="003E08E5"/>
    <w:rsid w:val="004112BA"/>
    <w:rsid w:val="00442397"/>
    <w:rsid w:val="00494CEB"/>
    <w:rsid w:val="004971EF"/>
    <w:rsid w:val="004C0A0B"/>
    <w:rsid w:val="004D51F8"/>
    <w:rsid w:val="004F5080"/>
    <w:rsid w:val="00510F5F"/>
    <w:rsid w:val="00567153"/>
    <w:rsid w:val="00591815"/>
    <w:rsid w:val="005B30B4"/>
    <w:rsid w:val="005E5FE0"/>
    <w:rsid w:val="00665394"/>
    <w:rsid w:val="006A2742"/>
    <w:rsid w:val="006C5A35"/>
    <w:rsid w:val="006D7DF3"/>
    <w:rsid w:val="007051C0"/>
    <w:rsid w:val="00726A15"/>
    <w:rsid w:val="00761F0B"/>
    <w:rsid w:val="007A25DE"/>
    <w:rsid w:val="008239DA"/>
    <w:rsid w:val="00827F43"/>
    <w:rsid w:val="00841983"/>
    <w:rsid w:val="00872087"/>
    <w:rsid w:val="008830CA"/>
    <w:rsid w:val="008971B1"/>
    <w:rsid w:val="00A807D2"/>
    <w:rsid w:val="00A919E4"/>
    <w:rsid w:val="00A95405"/>
    <w:rsid w:val="00B32752"/>
    <w:rsid w:val="00B409AD"/>
    <w:rsid w:val="00B40E57"/>
    <w:rsid w:val="00B764B6"/>
    <w:rsid w:val="00B84991"/>
    <w:rsid w:val="00B923B6"/>
    <w:rsid w:val="00BB4E28"/>
    <w:rsid w:val="00BC7B51"/>
    <w:rsid w:val="00C4512A"/>
    <w:rsid w:val="00C53607"/>
    <w:rsid w:val="00C604DF"/>
    <w:rsid w:val="00C8051C"/>
    <w:rsid w:val="00CB174B"/>
    <w:rsid w:val="00CB3A3F"/>
    <w:rsid w:val="00CE5EAA"/>
    <w:rsid w:val="00CF2B8E"/>
    <w:rsid w:val="00D419F2"/>
    <w:rsid w:val="00D5015E"/>
    <w:rsid w:val="00D726B4"/>
    <w:rsid w:val="00D81B7C"/>
    <w:rsid w:val="00D97CE2"/>
    <w:rsid w:val="00DA18B3"/>
    <w:rsid w:val="00DA495C"/>
    <w:rsid w:val="00E06632"/>
    <w:rsid w:val="00E06CE4"/>
    <w:rsid w:val="00E40C68"/>
    <w:rsid w:val="00E41BE7"/>
    <w:rsid w:val="00E97A95"/>
    <w:rsid w:val="00EA16D9"/>
    <w:rsid w:val="00EA3A9D"/>
    <w:rsid w:val="00ED3F16"/>
    <w:rsid w:val="00F3645C"/>
    <w:rsid w:val="00F533C8"/>
    <w:rsid w:val="00F86CA5"/>
    <w:rsid w:val="00F97751"/>
    <w:rsid w:val="00FC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671B802"/>
  <w15:docId w15:val="{538C362D-4108-4027-85E3-41D2416C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5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7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CE2"/>
  </w:style>
  <w:style w:type="paragraph" w:styleId="Footer">
    <w:name w:val="footer"/>
    <w:basedOn w:val="Normal"/>
    <w:link w:val="FooterChar"/>
    <w:uiPriority w:val="99"/>
    <w:unhideWhenUsed/>
    <w:rsid w:val="00D97C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CE2"/>
  </w:style>
  <w:style w:type="table" w:styleId="TableGrid">
    <w:name w:val="Table Grid"/>
    <w:basedOn w:val="TableNormal"/>
    <w:uiPriority w:val="59"/>
    <w:rsid w:val="00D97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7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CE2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86CA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71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sternpower.co.uk/getattachment/Connections/Competition-in-Connections/Legal-Permissions-and-Consents/EXTERNAL_INFO-LEAFLET-FOR-LAND-OWNERS_ICPs.pdf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E0B6-68A4-491A-AF6A-64D596DB9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Power Distribution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Pollard, Bruce</dc:creator>
  <cp:lastModifiedBy>Phillips, Emma</cp:lastModifiedBy>
  <cp:revision>2</cp:revision>
  <dcterms:created xsi:type="dcterms:W3CDTF">2023-11-23T16:11:00Z</dcterms:created>
  <dcterms:modified xsi:type="dcterms:W3CDTF">2023-11-23T16:11:00Z</dcterms:modified>
</cp:coreProperties>
</file>